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92" w:rsidRDefault="00317C92" w:rsidP="00317C9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317C92" w:rsidRDefault="00317C92" w:rsidP="00317C9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C92" w:rsidRPr="00317C92" w:rsidRDefault="00317C92" w:rsidP="00317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C92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317C92" w:rsidRPr="00317C92" w:rsidRDefault="00317C92" w:rsidP="00317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C92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317C92" w:rsidRPr="00317C92" w:rsidRDefault="00317C92" w:rsidP="00317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C92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 «</w:t>
      </w:r>
      <w:r w:rsidR="00964CC1">
        <w:rPr>
          <w:rFonts w:ascii="Times New Roman" w:eastAsia="Calibri" w:hAnsi="Times New Roman" w:cs="Times New Roman"/>
          <w:b/>
          <w:sz w:val="24"/>
          <w:szCs w:val="24"/>
        </w:rPr>
        <w:t>Первомайское</w:t>
      </w:r>
      <w:r w:rsidRPr="00317C9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17C92" w:rsidRPr="00317C92" w:rsidRDefault="00317C92" w:rsidP="00317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C92">
        <w:rPr>
          <w:rFonts w:ascii="Times New Roman" w:eastAsia="Calibri" w:hAnsi="Times New Roman" w:cs="Times New Roman"/>
          <w:b/>
          <w:sz w:val="24"/>
          <w:szCs w:val="24"/>
        </w:rPr>
        <w:t>Дума муниципального образования «</w:t>
      </w:r>
      <w:r w:rsidR="00964CC1">
        <w:rPr>
          <w:rFonts w:ascii="Times New Roman" w:eastAsia="Calibri" w:hAnsi="Times New Roman" w:cs="Times New Roman"/>
          <w:b/>
          <w:sz w:val="24"/>
          <w:szCs w:val="24"/>
        </w:rPr>
        <w:t>Первомайское</w:t>
      </w:r>
      <w:r w:rsidRPr="00317C9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17C92" w:rsidRPr="00317C92" w:rsidRDefault="00317C92" w:rsidP="00317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C92">
        <w:rPr>
          <w:rFonts w:ascii="Times New Roman" w:eastAsia="Calibri" w:hAnsi="Times New Roman" w:cs="Times New Roman"/>
          <w:b/>
          <w:sz w:val="24"/>
          <w:szCs w:val="24"/>
        </w:rPr>
        <w:t>Третьего созыва</w:t>
      </w:r>
    </w:p>
    <w:p w:rsidR="00317C92" w:rsidRPr="00317C92" w:rsidRDefault="00317C92" w:rsidP="0031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7C92" w:rsidRPr="00317C92" w:rsidRDefault="00317C92" w:rsidP="00317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C92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317C92" w:rsidRPr="00317C92" w:rsidRDefault="00317C92" w:rsidP="00317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C92" w:rsidRPr="00317C92" w:rsidRDefault="00317C92" w:rsidP="00317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C92" w:rsidRDefault="00C762F6" w:rsidP="00964C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«____»_________20__</w:t>
      </w:r>
      <w:r w:rsidR="00317C92" w:rsidRPr="00317C92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№___                                </w:t>
      </w:r>
      <w:r w:rsidR="00964CC1">
        <w:rPr>
          <w:rFonts w:ascii="Times New Roman" w:eastAsia="Calibri" w:hAnsi="Times New Roman" w:cs="Times New Roman"/>
          <w:sz w:val="24"/>
          <w:szCs w:val="24"/>
        </w:rPr>
        <w:t>с</w:t>
      </w:r>
      <w:r w:rsidR="00317C92" w:rsidRPr="00317C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64CC1">
        <w:rPr>
          <w:rFonts w:ascii="Times New Roman" w:eastAsia="Calibri" w:hAnsi="Times New Roman" w:cs="Times New Roman"/>
          <w:sz w:val="24"/>
          <w:szCs w:val="24"/>
        </w:rPr>
        <w:t>Первомайское</w:t>
      </w:r>
    </w:p>
    <w:p w:rsidR="00964CC1" w:rsidRPr="00317C92" w:rsidRDefault="00964CC1" w:rsidP="00964CC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17C92" w:rsidRPr="00317C92" w:rsidRDefault="00317C92" w:rsidP="0031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C92">
        <w:rPr>
          <w:rFonts w:ascii="Times New Roman" w:eastAsia="Calibri" w:hAnsi="Times New Roman" w:cs="Times New Roman"/>
          <w:b/>
          <w:sz w:val="24"/>
          <w:szCs w:val="24"/>
        </w:rPr>
        <w:t>«Об утверждении Правил благоустройства</w:t>
      </w:r>
    </w:p>
    <w:p w:rsidR="006B159C" w:rsidRPr="00317C92" w:rsidRDefault="00317C92" w:rsidP="0031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7C92">
        <w:rPr>
          <w:rFonts w:ascii="Times New Roman" w:eastAsia="Calibri" w:hAnsi="Times New Roman" w:cs="Times New Roman"/>
          <w:b/>
          <w:sz w:val="24"/>
          <w:szCs w:val="24"/>
        </w:rPr>
        <w:t>территории муниципального образования «</w:t>
      </w:r>
      <w:r w:rsidR="00964CC1">
        <w:rPr>
          <w:rFonts w:ascii="Times New Roman" w:eastAsia="Calibri" w:hAnsi="Times New Roman" w:cs="Times New Roman"/>
          <w:b/>
          <w:sz w:val="24"/>
          <w:szCs w:val="24"/>
        </w:rPr>
        <w:t>Первомайское</w:t>
      </w:r>
      <w:r w:rsidRPr="00317C9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B159C" w:rsidRPr="00317C92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C762F6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317C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1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строительства и жилищно-коммунального хозяйства от 29.12.2021 № 1042/пр, руководствуясь Уставом </w:t>
      </w:r>
      <w:bookmarkStart w:id="0" w:name="_Hlk101513356"/>
      <w:r w:rsidR="00317C92" w:rsidRPr="00C762F6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964CC1">
        <w:rPr>
          <w:rFonts w:ascii="Times New Roman" w:eastAsia="Calibri" w:hAnsi="Times New Roman" w:cs="Times New Roman"/>
          <w:sz w:val="24"/>
          <w:szCs w:val="24"/>
        </w:rPr>
        <w:t>Первомайское</w:t>
      </w:r>
      <w:r w:rsidR="00317C92" w:rsidRPr="00C762F6">
        <w:rPr>
          <w:rFonts w:ascii="Times New Roman" w:eastAsia="Calibri" w:hAnsi="Times New Roman" w:cs="Times New Roman"/>
          <w:sz w:val="24"/>
          <w:szCs w:val="24"/>
        </w:rPr>
        <w:t>»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End w:id="0"/>
      <w:r w:rsidRPr="00C76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17C92"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Дума</w:t>
      </w:r>
      <w:r w:rsidR="00317C92" w:rsidRPr="00C76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17C92" w:rsidRPr="00C762F6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964CC1">
        <w:rPr>
          <w:rFonts w:ascii="Times New Roman" w:eastAsia="Calibri" w:hAnsi="Times New Roman" w:cs="Times New Roman"/>
          <w:sz w:val="24"/>
          <w:szCs w:val="24"/>
        </w:rPr>
        <w:t>Первомайское</w:t>
      </w:r>
      <w:r w:rsidR="00317C92" w:rsidRPr="00C762F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B159C" w:rsidRPr="00C762F6" w:rsidRDefault="006B159C" w:rsidP="00317C92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</w:t>
      </w:r>
      <w:r w:rsidR="00317C92" w:rsidRPr="00C7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C7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17C92" w:rsidRPr="00C762F6" w:rsidRDefault="006B159C" w:rsidP="00317C92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76002E"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прилагаемые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317C92" w:rsidRPr="00C762F6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964CC1">
        <w:rPr>
          <w:rFonts w:ascii="Times New Roman" w:eastAsia="Calibri" w:hAnsi="Times New Roman" w:cs="Times New Roman"/>
          <w:sz w:val="24"/>
          <w:szCs w:val="24"/>
        </w:rPr>
        <w:t>Первомайское</w:t>
      </w:r>
      <w:r w:rsidR="00317C92" w:rsidRPr="00C762F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76002E"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ризнать утратившими силу:</w:t>
      </w:r>
    </w:p>
    <w:p w:rsidR="00317C92" w:rsidRPr="00C762F6" w:rsidRDefault="00317C9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 решение Думы мукниципального образования «</w:t>
      </w:r>
      <w:r w:rsidR="00964C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Первомайское</w:t>
      </w: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от </w:t>
      </w:r>
      <w:r w:rsidR="00964C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03</w:t>
      </w: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</w:t>
      </w:r>
      <w:r w:rsidR="00964C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 w:rsidR="00964C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22 </w:t>
      </w: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 №</w:t>
      </w:r>
      <w:r w:rsidR="00964C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</w:t>
      </w: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«Об утверждении Правил благоустройства территории муниципального образования «</w:t>
      </w:r>
      <w:r w:rsidR="00964C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Первомайское</w:t>
      </w: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Опубликовать настоящее решение </w:t>
      </w:r>
      <w:bookmarkStart w:id="1" w:name="_Hlk20309729"/>
      <w:bookmarkStart w:id="2" w:name="_Hlk67578940"/>
      <w:r w:rsidR="00317C92" w:rsidRPr="00C762F6">
        <w:rPr>
          <w:rFonts w:ascii="Times New Roman" w:eastAsia="Calibri" w:hAnsi="Times New Roman" w:cs="Times New Roman"/>
          <w:sz w:val="24"/>
          <w:szCs w:val="24"/>
        </w:rPr>
        <w:t>в печатном издании «</w:t>
      </w:r>
      <w:r w:rsidR="00964CC1">
        <w:rPr>
          <w:rFonts w:ascii="Times New Roman" w:eastAsia="Calibri" w:hAnsi="Times New Roman" w:cs="Times New Roman"/>
          <w:sz w:val="24"/>
          <w:szCs w:val="24"/>
        </w:rPr>
        <w:t>Первомайский</w:t>
      </w:r>
      <w:r w:rsidR="00317C92" w:rsidRPr="00C762F6">
        <w:rPr>
          <w:rFonts w:ascii="Times New Roman" w:eastAsia="Calibri" w:hAnsi="Times New Roman" w:cs="Times New Roman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964CC1">
        <w:rPr>
          <w:rFonts w:ascii="Times New Roman" w:eastAsia="Calibri" w:hAnsi="Times New Roman" w:cs="Times New Roman"/>
          <w:sz w:val="24"/>
          <w:szCs w:val="24"/>
        </w:rPr>
        <w:t>Первомайское</w:t>
      </w:r>
      <w:r w:rsidR="00317C92" w:rsidRPr="00C762F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</w:t>
      </w:r>
      <w:bookmarkStart w:id="3" w:name="_Hlk15472517"/>
      <w:bookmarkEnd w:id="1"/>
      <w:bookmarkEnd w:id="2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адресу</w:t>
      </w:r>
      <w:bookmarkEnd w:id="3"/>
      <w:r w:rsidR="00C762F6"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</w:t>
      </w:r>
      <w:r w:rsidR="0017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адм-</w:t>
      </w:r>
      <w:bookmarkStart w:id="4" w:name="_GoBack"/>
      <w:bookmarkEnd w:id="4"/>
      <w:r w:rsidR="0096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="00C762F6"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.рф</w:t>
      </w:r>
    </w:p>
    <w:p w:rsidR="0022438A" w:rsidRPr="00C762F6" w:rsidRDefault="006B159C" w:rsidP="006B159C">
      <w:pPr>
        <w:pStyle w:val="11"/>
        <w:spacing w:before="0" w:beforeAutospacing="0" w:after="0" w:afterAutospacing="0"/>
        <w:ind w:firstLine="709"/>
        <w:jc w:val="both"/>
      </w:pPr>
      <w:r w:rsidRPr="00C762F6">
        <w:rPr>
          <w:bCs/>
          <w:color w:val="000000"/>
        </w:rPr>
        <w:t xml:space="preserve">4. Настоящее решение вступает в силу </w:t>
      </w:r>
      <w:r w:rsidR="00AF2E0B" w:rsidRPr="00C762F6">
        <w:rPr>
          <w:bCs/>
          <w:color w:val="000000"/>
        </w:rPr>
        <w:t xml:space="preserve">после </w:t>
      </w:r>
      <w:r w:rsidRPr="00C762F6">
        <w:rPr>
          <w:bCs/>
          <w:color w:val="000000"/>
        </w:rPr>
        <w:t xml:space="preserve"> дня его официального опубликования</w:t>
      </w:r>
      <w:r w:rsidR="00C762F6" w:rsidRPr="00C762F6">
        <w:rPr>
          <w:bCs/>
          <w:color w:val="000000"/>
        </w:rPr>
        <w:t>.</w:t>
      </w:r>
    </w:p>
    <w:p w:rsidR="00C6325F" w:rsidRDefault="00C6325F" w:rsidP="00545FBF">
      <w:pPr>
        <w:pStyle w:val="11"/>
        <w:spacing w:before="0" w:beforeAutospacing="0" w:after="0" w:afterAutospacing="0"/>
        <w:ind w:firstLine="709"/>
        <w:jc w:val="both"/>
      </w:pPr>
    </w:p>
    <w:p w:rsidR="00C762F6" w:rsidRPr="00C762F6" w:rsidRDefault="00C762F6" w:rsidP="00545FBF">
      <w:pPr>
        <w:pStyle w:val="11"/>
        <w:spacing w:before="0" w:beforeAutospacing="0" w:after="0" w:afterAutospacing="0"/>
        <w:ind w:firstLine="709"/>
        <w:jc w:val="both"/>
      </w:pPr>
    </w:p>
    <w:p w:rsidR="00C762F6" w:rsidRPr="00C762F6" w:rsidRDefault="00C762F6" w:rsidP="00C762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62F6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</w:t>
      </w:r>
    </w:p>
    <w:p w:rsidR="00C762F6" w:rsidRPr="00C762F6" w:rsidRDefault="00C762F6" w:rsidP="00C762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62F6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964CC1">
        <w:rPr>
          <w:rFonts w:ascii="Times New Roman" w:eastAsia="Calibri" w:hAnsi="Times New Roman" w:cs="Times New Roman"/>
          <w:sz w:val="24"/>
          <w:szCs w:val="24"/>
        </w:rPr>
        <w:t>Первомайское</w:t>
      </w:r>
      <w:r w:rsidRPr="00C762F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762F6" w:rsidRPr="00C762F6" w:rsidRDefault="00C762F6" w:rsidP="00C762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62F6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 </w:t>
      </w:r>
    </w:p>
    <w:p w:rsidR="00964CC1" w:rsidRDefault="00C762F6" w:rsidP="00C762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62F6">
        <w:rPr>
          <w:rFonts w:ascii="Times New Roman" w:eastAsia="Calibri" w:hAnsi="Times New Roman" w:cs="Times New Roman"/>
          <w:sz w:val="24"/>
          <w:szCs w:val="24"/>
        </w:rPr>
        <w:t>образования  «</w:t>
      </w:r>
      <w:r w:rsidR="00964CC1">
        <w:rPr>
          <w:rFonts w:ascii="Times New Roman" w:eastAsia="Calibri" w:hAnsi="Times New Roman" w:cs="Times New Roman"/>
          <w:sz w:val="24"/>
          <w:szCs w:val="24"/>
        </w:rPr>
        <w:t>Первомайское</w:t>
      </w:r>
      <w:r w:rsidRPr="00C762F6">
        <w:rPr>
          <w:rFonts w:ascii="Times New Roman" w:eastAsia="Calibri" w:hAnsi="Times New Roman" w:cs="Times New Roman"/>
          <w:sz w:val="24"/>
          <w:szCs w:val="24"/>
        </w:rPr>
        <w:t xml:space="preserve">»:                                                               </w:t>
      </w:r>
      <w:r w:rsidRPr="00C762F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964CC1">
        <w:rPr>
          <w:rFonts w:ascii="Times New Roman" w:eastAsia="Calibri" w:hAnsi="Times New Roman" w:cs="Times New Roman"/>
          <w:sz w:val="24"/>
          <w:szCs w:val="24"/>
        </w:rPr>
        <w:t>А. И. Кудак</w:t>
      </w:r>
    </w:p>
    <w:p w:rsidR="00C6325F" w:rsidRPr="001D7438" w:rsidRDefault="00C6325F" w:rsidP="00545F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9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C762F6" w:rsidTr="00C762F6">
        <w:trPr>
          <w:jc w:val="right"/>
        </w:trPr>
        <w:tc>
          <w:tcPr>
            <w:tcW w:w="4916" w:type="dxa"/>
          </w:tcPr>
          <w:p w:rsidR="00C6325F" w:rsidRPr="00C762F6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439" w:type="dxa"/>
          </w:tcPr>
          <w:p w:rsidR="00C6325F" w:rsidRPr="00C762F6" w:rsidRDefault="00C6325F" w:rsidP="00C762F6">
            <w:pPr>
              <w:suppressAutoHyphens/>
              <w:ind w:firstLine="36"/>
              <w:jc w:val="righ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C7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УТВЕРЖДЕН</w:t>
            </w:r>
            <w:r w:rsidR="0076002E" w:rsidRPr="00C7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Ы</w:t>
            </w:r>
          </w:p>
          <w:p w:rsidR="00C762F6" w:rsidRPr="00C762F6" w:rsidRDefault="00C6325F" w:rsidP="00C762F6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7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решением</w:t>
            </w:r>
            <w:r w:rsidR="00C762F6" w:rsidRPr="00C7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Думы муниципального образования «</w:t>
            </w:r>
            <w:r w:rsidR="00964CC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Первомайское</w:t>
            </w:r>
            <w:r w:rsidR="00C762F6" w:rsidRPr="00C7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»</w:t>
            </w:r>
          </w:p>
          <w:p w:rsidR="00C6325F" w:rsidRPr="00C762F6" w:rsidRDefault="00C6325F" w:rsidP="00C762F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C7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от «___» ________ 20___ г. № ___</w:t>
            </w:r>
          </w:p>
        </w:tc>
      </w:tr>
    </w:tbl>
    <w:p w:rsidR="0022438A" w:rsidRPr="00C762F6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22438A" w:rsidRPr="00C762F6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FB127E" w:rsidRDefault="006B159C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БЛАГОУСТРОЙСТВА </w:t>
      </w:r>
    </w:p>
    <w:p w:rsidR="006B159C" w:rsidRPr="00C762F6" w:rsidRDefault="006B159C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ТЕРРИТОРИИ</w:t>
      </w:r>
      <w:r w:rsidR="00C762F6" w:rsidRPr="00C76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96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ПЕРВОМАЙСКОЕ</w:t>
      </w:r>
      <w:r w:rsidR="00C762F6" w:rsidRPr="00C76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C76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B159C" w:rsidRPr="00C762F6" w:rsidRDefault="006B159C" w:rsidP="006B15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5" w:name="_Hlk101512676"/>
    </w:p>
    <w:bookmarkEnd w:id="5"/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C762F6" w:rsidRDefault="006B159C" w:rsidP="00FB12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6" w:name="1"/>
      <w:bookmarkEnd w:id="6"/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FB127E" w:rsidRPr="00FB1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 «</w:t>
      </w:r>
      <w:r w:rsidR="00964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Первомайское</w:t>
      </w:r>
      <w:r w:rsidR="00FB127E" w:rsidRPr="00FB1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7" w:name="3"/>
      <w:bookmarkEnd w:id="7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C762F6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233114" w:rsidRPr="00C7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="00233114"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C762F6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C762F6" w:rsidRDefault="006B159C" w:rsidP="00FB12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8" w:name="_Hlk5026116"/>
      <w:r w:rsidRPr="00C76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bookmarkEnd w:id="8"/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</w:t>
      </w:r>
      <w:r w:rsidR="00FB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96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="00FB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r w:rsidR="00FB127E" w:rsidRPr="00FB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 http://</w:t>
      </w:r>
      <w:r w:rsidR="0096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="00FB127E" w:rsidRPr="00FB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.рф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иных интернет-ресурсах;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C762F6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C762F6" w:rsidRDefault="006B159C" w:rsidP="00FB12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9" w:name="_Hlk11160493"/>
      <w:r w:rsidRPr="00C7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C7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прилегающих </w:t>
      </w:r>
      <w:r w:rsidRPr="00C7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054E" w:rsidRPr="00C7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территорий</w:t>
      </w:r>
    </w:p>
    <w:p w:rsidR="006B159C" w:rsidRPr="00C762F6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506A9"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раниц</w:t>
      </w:r>
      <w:r w:rsidR="009506A9"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C762F6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C762F6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C762F6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C762F6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C762F6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C762F6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C762F6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="00C24CBA"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C762F6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C762F6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C762F6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C762F6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C762F6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C762F6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C762F6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C762F6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C762F6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C762F6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C762F6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bookmarkStart w:id="10" w:name="sub_55"/>
      <w:r w:rsidR="00C24CBA"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C762F6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11" w:name="sub_56"/>
      <w:bookmarkEnd w:id="10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метра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метра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метра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метра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B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границ земельных участков, на которых расположены многоквартирные дома;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C76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13) для территорий, прилегающих к рекламным конструкциям, - </w:t>
      </w:r>
      <w:r w:rsid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метра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11"/>
    <w:p w:rsidR="006B159C" w:rsidRPr="00C762F6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762F6" w:rsidRDefault="006B159C" w:rsidP="00FB12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="00FB127E"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9</w:t>
      </w:r>
      <w:r w:rsidRPr="00FB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часов утра</w:t>
      </w:r>
      <w:r w:rsidRPr="00FB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уборке территории поселения в ночное время необходимо принимать меры, предупреждающие шум.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протяженности убираемых объектов более </w:t>
      </w:r>
      <w:r w:rsidR="00064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12" w:name="_Hlk8137221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13" w:name="_Hlk22210955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4" w:name="_Hlk14965574"/>
    </w:p>
    <w:bookmarkEnd w:id="14"/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C762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2"/>
    <w:p w:rsidR="006B159C" w:rsidRPr="00C762F6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помещениях общего пользования многоквартирных домов, во дворах таких домов, на детских и спортивных площадках;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762F6" w:rsidRDefault="006B159C" w:rsidP="001524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C7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152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 ноября по 15 апреля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="001524D6" w:rsidRPr="00152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1 ноября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эксплуатирующими организациями должны быть завершены работы по подготовке мест для приёма снега.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152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 1 </w:t>
      </w:r>
      <w:r w:rsidR="001524D6" w:rsidRPr="00152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ноября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15" w:name="6"/>
      <w:bookmarkEnd w:id="15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В зимний период </w:t>
      </w:r>
      <w:bookmarkStart w:id="16" w:name="_Hlk22804048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7" w:name="_Hlk22211020"/>
      <w:bookmarkStart w:id="18" w:name="_Hlk22211206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7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8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границам таких домов) </w:t>
      </w:r>
      <w:bookmarkEnd w:id="16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C762F6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9" w:name="7"/>
      <w:bookmarkEnd w:id="19"/>
    </w:p>
    <w:p w:rsidR="006B159C" w:rsidRPr="00C762F6" w:rsidRDefault="006B159C" w:rsidP="001524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C7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16 апреля по 31 октября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1 апреля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6.2. </w:t>
      </w: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0" w:name="8"/>
      <w:bookmarkEnd w:id="20"/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1" w:name="9"/>
      <w:bookmarkEnd w:id="21"/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C76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C762F6" w:rsidRDefault="006B159C" w:rsidP="006A3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2" w:name="10"/>
      <w:bookmarkEnd w:id="22"/>
      <w:r w:rsidRPr="00C7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7. Обеспечение надлежащего содержания объектов благоустройства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ежемесячно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На зданиях, расположенных вдоль </w:t>
      </w:r>
      <w:r w:rsidR="006A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домового указателя должна быть</w:t>
      </w:r>
      <w:r w:rsidR="006A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300 мм</w:t>
      </w:r>
      <w:r w:rsidRPr="006A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таблички зависит от количества букв в названии улицы.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белом</w:t>
      </w:r>
      <w:r w:rsidR="006A361C"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либо голубом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рамка шириной </w:t>
      </w:r>
      <w:r w:rsidR="006A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мм</w:t>
      </w:r>
      <w:r w:rsidRPr="006A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159C" w:rsidRPr="006A36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="006A361C"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белом, либо голубом цвете.</w:t>
      </w:r>
      <w:r w:rsidR="006A361C" w:rsidRPr="006A36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 названия улиц на русском языке, высота заглавных букв – </w:t>
      </w:r>
      <w:r w:rsidR="006A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</w:t>
      </w:r>
      <w:r w:rsidR="006A361C" w:rsidRPr="006A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 мм</w:t>
      </w:r>
      <w:r w:rsidRPr="006A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="006A361C" w:rsidRPr="006A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140 мм</w:t>
      </w:r>
      <w:r w:rsidRPr="006A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25 метров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3" w:name="_Hlk14967170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23"/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2,5 до 5,0 м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1 м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4" w:name="_Hlk14967236"/>
    </w:p>
    <w:bookmarkEnd w:id="24"/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два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0,6 м</w:t>
      </w:r>
      <w:r w:rsidRPr="006A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0,4 м</w:t>
      </w:r>
      <w:r w:rsidRPr="006A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Высота букв, знаков, размещаемых на вывеске, -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0,1 м</w:t>
      </w:r>
      <w:r w:rsidRPr="006A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второго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первым и вторым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0,5 м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60%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м</w:t>
      </w:r>
      <w:r w:rsidRPr="006A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Расстояние от уровня земли до нижнего края консольной конструкции должно быть не менее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2,5 м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месте фактического нахождения (осуществления деятельности) которого размещается указанная вывеска.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0,8 м</w:t>
      </w:r>
      <w:r w:rsidRPr="00C76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 м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6,5</w:t>
      </w:r>
      <w:r w:rsidRPr="00C76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м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Владелец вывески обязан восстановить благоустройство территории и (или) внешний вид фасада после монтажа (демонтажа) в течение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суток</w:t>
      </w:r>
      <w:r w:rsidRPr="006A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характеристикам изделия и материалы, отвечающие требованиям действующих национальных стандартов.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6A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м</w:t>
      </w:r>
      <w:r w:rsidRPr="006A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общей площади элемента, либо отклонение ограждения от вертикали может повлечь его падение.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762F6" w:rsidRDefault="006B159C" w:rsidP="006A3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Точки пересечения основных пешеходных коммуникаций с транспортными проездами, в том числе некапитальных нестационарных сооружений, могут оснащаться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бордюрными пандусами.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762F6" w:rsidRDefault="006B159C" w:rsidP="006A361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правил, национальных стандартов, отраслевых норм и настоящих Правил.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762F6" w:rsidRDefault="006B159C" w:rsidP="006A3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762F6" w:rsidRDefault="006B159C" w:rsidP="006A361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11.4. Парковка общего пользования должна соответствовать требованиям статьи 12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FF1FF5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Pr="00FF1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и Законом</w:t>
      </w:r>
      <w:r w:rsidRPr="00FF1F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FF1FF5" w:rsidRPr="00FF1F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Иркутской области от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парковки.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762F6" w:rsidRDefault="006B159C" w:rsidP="00FF1FF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FF1F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600</w:t>
      </w:r>
      <w:r w:rsidRPr="00FF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FF1F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1,5 м</w:t>
      </w:r>
      <w:r w:rsidRPr="00FF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:rsidR="006B159C" w:rsidRPr="00C762F6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762F6" w:rsidRDefault="006B159C" w:rsidP="00FF1F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C762F6" w:rsidRDefault="00F33A14" w:rsidP="00F33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25" w:name="_Hlk22308913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5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CB20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</w:t>
      </w:r>
      <w:r w:rsidRPr="00CB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bookmarkStart w:id="26" w:name="_Hlk104286455"/>
      <w:r w:rsidRPr="00CB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6"/>
      <w:r w:rsidRPr="00CB20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_Hlk10560126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7"/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sub_42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8"/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29" w:name="_Hlk10556166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9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0" w:name="_Hlk104283762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31" w:name="_Hlk104282909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0"/>
      <w:bookmarkEnd w:id="31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32" w:name="_Hlk10813309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</w:t>
      </w:r>
      <w:r w:rsidR="00C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Иркутской области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2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sub_10042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="00CB20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пять</w:t>
      </w:r>
      <w:r w:rsidRPr="00CB20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дня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CB20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трех рабочих дней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CB20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трех рабочих дней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sub_1005"/>
      <w:bookmarkEnd w:id="33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ub_1006"/>
      <w:bookmarkEnd w:id="34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6" w:name="_Hlk10636188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6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7" w:name="_Hlk10814035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CB201C" w:rsidRPr="00CB2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Иркутской области</w:t>
      </w:r>
      <w:r w:rsidRPr="00C76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37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8" w:name="_Hlk10813944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8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CB20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семи рабочих дней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разрешения на осуществление земляных работ и в течение </w:t>
      </w:r>
      <w:r w:rsidRPr="00CB20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трех рабочих дней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C762F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</w:hyperlink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1007"/>
      <w:bookmarkEnd w:id="35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1008"/>
      <w:bookmarkEnd w:id="39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40"/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C762F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7" w:history="1">
        <w:r w:rsidRPr="00C762F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1009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2" w:name="sub_1010"/>
      <w:bookmarkEnd w:id="41"/>
    </w:p>
    <w:bookmarkEnd w:id="42"/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</w:t>
      </w:r>
      <w:r w:rsidR="00C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Иркутской области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CB20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сутки</w:t>
      </w:r>
      <w:r w:rsidRPr="00C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13.21. Вскрытие вдоль элементов улично-дорожной сети производится участками длиной: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канализации и теплотрассы — </w:t>
      </w:r>
      <w:r w:rsidRPr="00CB20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200 - 300</w:t>
      </w:r>
      <w:r w:rsidRPr="00C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погонных метров;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CB20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500 - 600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колодцев, подземных сооружений, водосточных решеток, иных сооружений;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11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4" w:name="_Hlk104284916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C762F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44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C762F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CB20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 м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CB20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 м</w:t>
      </w:r>
      <w:r w:rsidRPr="00C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12"/>
      <w:bookmarkEnd w:id="43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13.28. В период </w:t>
      </w:r>
      <w:r w:rsidRPr="00CB20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 ноября по 15 апреля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CB20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после 15 апреля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3607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CB20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31 мая</w:t>
      </w:r>
      <w:r w:rsidRPr="00C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46"/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1013"/>
      <w:bookmarkEnd w:id="45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8" w:name="sub_1014"/>
      <w:bookmarkEnd w:id="47"/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C7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C762F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1015"/>
      <w:bookmarkEnd w:id="48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1016"/>
      <w:bookmarkEnd w:id="49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sub_1017"/>
      <w:bookmarkEnd w:id="50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1"/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C762F6" w:rsidRDefault="006B159C" w:rsidP="00CB20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52" w:name="_Hlk7527352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2"/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 посадка деревьев на расстоянии ближе 2 метров до подземных сетей водопровода, дренажа;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762F6" w:rsidRDefault="006B159C" w:rsidP="00CB20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_Hlk35262974"/>
      <w:bookmarkStart w:id="54" w:name="_Hlk35260093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C762F6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sub_1004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5"/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53"/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CB20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15 рабочих дней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CB20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рабочих дней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</w:t>
      </w:r>
      <w:r w:rsidR="00C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Иркутской области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CB20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рабочих дней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4"/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C762F6" w:rsidRDefault="006B159C" w:rsidP="00CB20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FA6"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9"/>
    <w:p w:rsidR="006B159C" w:rsidRPr="00C762F6" w:rsidRDefault="006B159C" w:rsidP="00CB201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62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2F6">
        <w:rPr>
          <w:rFonts w:ascii="Times New Roman" w:eastAsia="Calibri" w:hAnsi="Times New Roman" w:cs="Times New Roman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C762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762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C762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</w:t>
      </w:r>
      <w:r w:rsidRPr="00C762F6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2F6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2F6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C762F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C762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5761E" w:rsidRPr="00C762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указанные  в абзаце 1 пункта 17.1,  </w:t>
      </w:r>
      <w:r w:rsidRPr="00C762F6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2F6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2F6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2F6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2F6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762F6" w:rsidRDefault="006B159C" w:rsidP="00CB20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6B159C" w:rsidRPr="00751794" w:rsidRDefault="006B159C" w:rsidP="00751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751794" w:rsidRPr="00751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Иркутской области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</w:t>
      </w:r>
      <w:r w:rsidR="00751794" w:rsidRPr="0075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 схемы обращения с отходами в Иркутской области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утверждаемой </w:t>
      </w:r>
      <w:r w:rsidR="00751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751794" w:rsidRPr="00751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риказом Министерства природных ресурсов и экологии Иркутской области от 29 декабря 2017 г. N 43-мпр</w:t>
      </w:r>
      <w:r w:rsidRPr="0075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="0075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эпидемиологического благополучия населения, а также иными нормативными правовыми актами.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 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6" w:name="_Hlk67486644"/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6"/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- не менее 15 метров.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</w:t>
      </w: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C7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762F6" w:rsidRDefault="006B159C" w:rsidP="00751794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75179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751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75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 Российской Федерации».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372C5"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C762F6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C762F6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C762F6" w:rsidRDefault="006B159C" w:rsidP="00751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C762F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1D7438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3EEC" w:rsidRPr="001D7438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52" w:rsidRDefault="00771852" w:rsidP="0022438A">
      <w:pPr>
        <w:spacing w:after="0" w:line="240" w:lineRule="auto"/>
      </w:pPr>
      <w:r>
        <w:separator/>
      </w:r>
    </w:p>
  </w:endnote>
  <w:endnote w:type="continuationSeparator" w:id="0">
    <w:p w:rsidR="00771852" w:rsidRDefault="00771852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52" w:rsidRDefault="00771852" w:rsidP="0022438A">
      <w:pPr>
        <w:spacing w:after="0" w:line="240" w:lineRule="auto"/>
      </w:pPr>
      <w:r>
        <w:separator/>
      </w:r>
    </w:p>
  </w:footnote>
  <w:footnote w:type="continuationSeparator" w:id="0">
    <w:p w:rsidR="00771852" w:rsidRDefault="00771852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64FF9"/>
    <w:rsid w:val="0007474C"/>
    <w:rsid w:val="00076006"/>
    <w:rsid w:val="00076D95"/>
    <w:rsid w:val="00083904"/>
    <w:rsid w:val="00083F4B"/>
    <w:rsid w:val="000D7F11"/>
    <w:rsid w:val="000E27B7"/>
    <w:rsid w:val="00115975"/>
    <w:rsid w:val="00124535"/>
    <w:rsid w:val="001524D6"/>
    <w:rsid w:val="001553A9"/>
    <w:rsid w:val="0015570D"/>
    <w:rsid w:val="00165CA4"/>
    <w:rsid w:val="0017206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93F30"/>
    <w:rsid w:val="002A0806"/>
    <w:rsid w:val="002C40F7"/>
    <w:rsid w:val="00317C92"/>
    <w:rsid w:val="0032707B"/>
    <w:rsid w:val="003645EE"/>
    <w:rsid w:val="00374FA6"/>
    <w:rsid w:val="00377A4B"/>
    <w:rsid w:val="00391D0E"/>
    <w:rsid w:val="00392C02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41700"/>
    <w:rsid w:val="00545EBC"/>
    <w:rsid w:val="00545FBF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A361C"/>
    <w:rsid w:val="006B159C"/>
    <w:rsid w:val="006C16CD"/>
    <w:rsid w:val="006D470F"/>
    <w:rsid w:val="006E15E0"/>
    <w:rsid w:val="006F17AE"/>
    <w:rsid w:val="00744B9B"/>
    <w:rsid w:val="00745EF5"/>
    <w:rsid w:val="007460AB"/>
    <w:rsid w:val="00751794"/>
    <w:rsid w:val="0076002E"/>
    <w:rsid w:val="00766744"/>
    <w:rsid w:val="00771852"/>
    <w:rsid w:val="007E18C8"/>
    <w:rsid w:val="00805918"/>
    <w:rsid w:val="00810B01"/>
    <w:rsid w:val="00817327"/>
    <w:rsid w:val="00820797"/>
    <w:rsid w:val="008476E8"/>
    <w:rsid w:val="00851E51"/>
    <w:rsid w:val="00857009"/>
    <w:rsid w:val="00861336"/>
    <w:rsid w:val="00875E5D"/>
    <w:rsid w:val="00882D53"/>
    <w:rsid w:val="008A24C2"/>
    <w:rsid w:val="008A7B04"/>
    <w:rsid w:val="008C7E92"/>
    <w:rsid w:val="0091524E"/>
    <w:rsid w:val="00933B4A"/>
    <w:rsid w:val="00941820"/>
    <w:rsid w:val="009474E8"/>
    <w:rsid w:val="009506A9"/>
    <w:rsid w:val="009507C7"/>
    <w:rsid w:val="009516DA"/>
    <w:rsid w:val="00964CC1"/>
    <w:rsid w:val="00971F11"/>
    <w:rsid w:val="009753C9"/>
    <w:rsid w:val="00992205"/>
    <w:rsid w:val="009A515E"/>
    <w:rsid w:val="009B2D65"/>
    <w:rsid w:val="009C4EAE"/>
    <w:rsid w:val="009D0E75"/>
    <w:rsid w:val="009F12E7"/>
    <w:rsid w:val="00A2147F"/>
    <w:rsid w:val="00A21CB5"/>
    <w:rsid w:val="00A32BB4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5947"/>
    <w:rsid w:val="00AD4FBD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D732F"/>
    <w:rsid w:val="00C21E02"/>
    <w:rsid w:val="00C24CBA"/>
    <w:rsid w:val="00C33A84"/>
    <w:rsid w:val="00C5766E"/>
    <w:rsid w:val="00C60C3B"/>
    <w:rsid w:val="00C6325F"/>
    <w:rsid w:val="00C65B08"/>
    <w:rsid w:val="00C762F6"/>
    <w:rsid w:val="00C836C5"/>
    <w:rsid w:val="00CB201C"/>
    <w:rsid w:val="00CC2A77"/>
    <w:rsid w:val="00CC6C6F"/>
    <w:rsid w:val="00D20C8D"/>
    <w:rsid w:val="00D4265E"/>
    <w:rsid w:val="00D55795"/>
    <w:rsid w:val="00D80672"/>
    <w:rsid w:val="00D84CE1"/>
    <w:rsid w:val="00D87D08"/>
    <w:rsid w:val="00D97106"/>
    <w:rsid w:val="00DA4C49"/>
    <w:rsid w:val="00DF1629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F27415"/>
    <w:rsid w:val="00F33A14"/>
    <w:rsid w:val="00F34003"/>
    <w:rsid w:val="00F50825"/>
    <w:rsid w:val="00F5409C"/>
    <w:rsid w:val="00F5487D"/>
    <w:rsid w:val="00F66F8C"/>
    <w:rsid w:val="00F820AE"/>
    <w:rsid w:val="00FA52C1"/>
    <w:rsid w:val="00FB127E"/>
    <w:rsid w:val="00FB7AD1"/>
    <w:rsid w:val="00FC0A93"/>
    <w:rsid w:val="00FC0ECB"/>
    <w:rsid w:val="00FD60EE"/>
    <w:rsid w:val="00FF18B1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CBEE4-8C71-47B5-9E6F-7DFD0EE6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49D8-94BE-4539-8878-1652AA7F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24848</Words>
  <Characters>141639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DNS</cp:lastModifiedBy>
  <cp:revision>7</cp:revision>
  <cp:lastPrinted>2022-01-10T04:11:00Z</cp:lastPrinted>
  <dcterms:created xsi:type="dcterms:W3CDTF">2022-10-28T04:04:00Z</dcterms:created>
  <dcterms:modified xsi:type="dcterms:W3CDTF">2022-11-01T02:00:00Z</dcterms:modified>
</cp:coreProperties>
</file>