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24" w:rsidRPr="00A66D94" w:rsidRDefault="008B0058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66D94">
        <w:rPr>
          <w:rFonts w:ascii="Arial" w:hAnsi="Arial" w:cs="Arial"/>
          <w:sz w:val="32"/>
          <w:szCs w:val="32"/>
        </w:rPr>
        <w:t>30.0</w:t>
      </w:r>
      <w:r w:rsidR="000D3040">
        <w:rPr>
          <w:rFonts w:ascii="Arial" w:hAnsi="Arial" w:cs="Arial"/>
          <w:sz w:val="32"/>
          <w:szCs w:val="32"/>
        </w:rPr>
        <w:t>6</w:t>
      </w:r>
      <w:r w:rsidRPr="00A66D94">
        <w:rPr>
          <w:rFonts w:ascii="Arial" w:hAnsi="Arial" w:cs="Arial"/>
          <w:sz w:val="32"/>
          <w:szCs w:val="32"/>
        </w:rPr>
        <w:t>.2021</w:t>
      </w:r>
      <w:r w:rsidR="00D53B24" w:rsidRPr="00A66D94">
        <w:rPr>
          <w:rFonts w:ascii="Arial" w:hAnsi="Arial" w:cs="Arial"/>
          <w:sz w:val="32"/>
          <w:szCs w:val="32"/>
        </w:rPr>
        <w:t>г. №</w:t>
      </w:r>
      <w:r w:rsidR="000D3040">
        <w:rPr>
          <w:rFonts w:ascii="Arial" w:hAnsi="Arial" w:cs="Arial"/>
          <w:sz w:val="32"/>
          <w:szCs w:val="32"/>
        </w:rPr>
        <w:t>1</w:t>
      </w:r>
      <w:r w:rsidR="00B173BB">
        <w:rPr>
          <w:rFonts w:ascii="Arial" w:hAnsi="Arial" w:cs="Arial"/>
          <w:sz w:val="32"/>
          <w:szCs w:val="32"/>
        </w:rPr>
        <w:t>5</w:t>
      </w:r>
    </w:p>
    <w:p w:rsidR="00D53B24" w:rsidRPr="00A66D94" w:rsidRDefault="00D53B24" w:rsidP="00164358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A66D94">
        <w:rPr>
          <w:rFonts w:ascii="Arial" w:hAnsi="Arial" w:cs="Arial"/>
          <w:sz w:val="32"/>
          <w:szCs w:val="32"/>
        </w:rPr>
        <w:t>РОССИЙСКАЯ ФЕДЕРАЦИЯ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D94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6D94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6D94">
        <w:rPr>
          <w:rFonts w:ascii="Arial" w:hAnsi="Arial" w:cs="Arial"/>
          <w:b/>
          <w:sz w:val="32"/>
          <w:szCs w:val="32"/>
        </w:rPr>
        <w:t>РЕШЕНИЕ</w:t>
      </w:r>
    </w:p>
    <w:p w:rsidR="00D53B24" w:rsidRPr="00A66D94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53B24" w:rsidRPr="00A66D94" w:rsidRDefault="00164358" w:rsidP="00B173BB">
      <w:pPr>
        <w:pStyle w:val="ConsPlusTitle"/>
        <w:jc w:val="center"/>
        <w:rPr>
          <w:rFonts w:ascii="Arial" w:hAnsi="Arial" w:cs="Arial"/>
          <w:b w:val="0"/>
          <w:bCs w:val="0"/>
          <w:kern w:val="28"/>
          <w:sz w:val="32"/>
          <w:szCs w:val="32"/>
        </w:rPr>
      </w:pPr>
      <w:r w:rsidRPr="00A66D94">
        <w:rPr>
          <w:rFonts w:ascii="Arial" w:eastAsiaTheme="minorHAnsi" w:hAnsi="Arial" w:cs="Arial"/>
          <w:sz w:val="32"/>
          <w:szCs w:val="32"/>
          <w:lang w:eastAsia="en-US"/>
        </w:rPr>
        <w:t xml:space="preserve">ОБ </w:t>
      </w:r>
      <w:r w:rsidR="00B173BB" w:rsidRPr="00B173BB">
        <w:rPr>
          <w:rFonts w:ascii="Arial" w:eastAsiaTheme="minorHAnsi" w:hAnsi="Arial" w:cs="Arial"/>
          <w:sz w:val="32"/>
          <w:szCs w:val="32"/>
          <w:lang w:eastAsia="en-US"/>
        </w:rPr>
        <w:t>УТВЕРЖДЕНИИ ПОРЯДКА ВЫДВИЖЕНИЯ, ВНЕСЕНИЯ, ОБСУЖДЕНИЯ, РАССМОТРЕНИЯ ИНИЦИАТИВНЫХ ПРОЕКТОВ,</w:t>
      </w:r>
      <w:r w:rsidR="00B173BB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B173BB" w:rsidRPr="00B173BB">
        <w:rPr>
          <w:rFonts w:ascii="Arial" w:eastAsiaTheme="minorHAnsi" w:hAnsi="Arial" w:cs="Arial"/>
          <w:sz w:val="32"/>
          <w:szCs w:val="32"/>
          <w:lang w:eastAsia="en-US"/>
        </w:rPr>
        <w:t>А ТАКЖЕ ПРОВЕДЕНИЯ ИХ КОНКУРСНОГО ОТБОРА</w:t>
      </w:r>
      <w:r w:rsidR="00B173BB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B173BB" w:rsidRPr="00B173BB">
        <w:rPr>
          <w:rFonts w:ascii="Arial" w:eastAsiaTheme="minorHAnsi" w:hAnsi="Arial" w:cs="Arial"/>
          <w:sz w:val="32"/>
          <w:szCs w:val="32"/>
          <w:lang w:eastAsia="en-US"/>
        </w:rPr>
        <w:t xml:space="preserve">В МУНИЦИПАЛЬНОМ ОБРАЗОВАНИИ </w:t>
      </w:r>
      <w:r w:rsidR="00A66D94" w:rsidRPr="00A66D94">
        <w:rPr>
          <w:rFonts w:ascii="Arial" w:eastAsiaTheme="minorHAnsi" w:hAnsi="Arial" w:cs="Arial"/>
          <w:sz w:val="32"/>
          <w:szCs w:val="32"/>
          <w:lang w:eastAsia="en-US"/>
        </w:rPr>
        <w:t>«ПЕРВОМАЙСКОЕ»</w:t>
      </w:r>
    </w:p>
    <w:p w:rsidR="00D53B24" w:rsidRPr="00A66D94" w:rsidRDefault="00D53B24" w:rsidP="00164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:rsidR="00D53B24" w:rsidRPr="00A66D94" w:rsidRDefault="00D53B24" w:rsidP="001643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kern w:val="28"/>
          <w:sz w:val="24"/>
          <w:szCs w:val="24"/>
        </w:rPr>
        <w:t xml:space="preserve">В </w:t>
      </w:r>
      <w:r w:rsidR="00164358" w:rsidRPr="00A66D94">
        <w:rPr>
          <w:rFonts w:ascii="Arial" w:hAnsi="Arial" w:cs="Arial"/>
          <w:kern w:val="28"/>
          <w:sz w:val="24"/>
          <w:szCs w:val="24"/>
        </w:rPr>
        <w:t>соответствии со статьями 26</w:t>
      </w:r>
      <w:r w:rsidR="00164358" w:rsidRPr="00A66D94">
        <w:rPr>
          <w:rFonts w:ascii="Arial" w:hAnsi="Arial" w:cs="Arial"/>
          <w:kern w:val="28"/>
          <w:sz w:val="24"/>
          <w:szCs w:val="24"/>
          <w:vertAlign w:val="superscript"/>
        </w:rPr>
        <w:t>1</w:t>
      </w:r>
      <w:r w:rsidR="00164358" w:rsidRPr="00A66D94">
        <w:rPr>
          <w:rFonts w:ascii="Arial" w:hAnsi="Arial" w:cs="Arial"/>
          <w:kern w:val="28"/>
          <w:sz w:val="24"/>
          <w:szCs w:val="24"/>
        </w:rPr>
        <w:t xml:space="preserve">, </w:t>
      </w:r>
      <w:r w:rsidR="00B173BB" w:rsidRPr="00B173BB">
        <w:rPr>
          <w:rFonts w:ascii="Arial" w:hAnsi="Arial" w:cs="Arial"/>
          <w:kern w:val="28"/>
          <w:sz w:val="24"/>
          <w:szCs w:val="24"/>
        </w:rPr>
        <w:t>56</w:t>
      </w:r>
      <w:r w:rsidR="00B173BB" w:rsidRPr="00B173BB">
        <w:rPr>
          <w:rFonts w:ascii="Arial" w:hAnsi="Arial" w:cs="Arial"/>
          <w:kern w:val="28"/>
          <w:sz w:val="24"/>
          <w:szCs w:val="24"/>
          <w:vertAlign w:val="superscript"/>
        </w:rPr>
        <w:t>1</w:t>
      </w:r>
      <w:r w:rsidR="00164358" w:rsidRPr="00A66D94">
        <w:rPr>
          <w:rFonts w:ascii="Arial" w:hAnsi="Arial" w:cs="Arial"/>
          <w:kern w:val="28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A66D94">
        <w:rPr>
          <w:rFonts w:ascii="Arial" w:hAnsi="Arial" w:cs="Arial"/>
          <w:kern w:val="28"/>
          <w:sz w:val="24"/>
          <w:szCs w:val="24"/>
        </w:rPr>
        <w:t xml:space="preserve">, руководствуясь </w:t>
      </w:r>
      <w:r w:rsidRPr="00A66D94">
        <w:rPr>
          <w:rFonts w:ascii="Arial" w:hAnsi="Arial" w:cs="Arial"/>
          <w:spacing w:val="1"/>
          <w:sz w:val="24"/>
          <w:szCs w:val="24"/>
        </w:rPr>
        <w:t>Уставом муниципального образования «Первомайское», Дума муниципального образования «Первомайское»</w:t>
      </w:r>
    </w:p>
    <w:p w:rsidR="00D53B24" w:rsidRPr="00A66D9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A66D94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D53B24" w:rsidRPr="00A66D94" w:rsidRDefault="00D53B24" w:rsidP="0016435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 xml:space="preserve">1. </w:t>
      </w:r>
      <w:r w:rsidR="00F93A1A" w:rsidRPr="00A66D94">
        <w:rPr>
          <w:rFonts w:ascii="Arial" w:hAnsi="Arial" w:cs="Arial"/>
          <w:sz w:val="24"/>
          <w:szCs w:val="24"/>
        </w:rPr>
        <w:t>Утвердить</w:t>
      </w:r>
      <w:r w:rsidRPr="00A66D94">
        <w:rPr>
          <w:rFonts w:ascii="Arial" w:hAnsi="Arial" w:cs="Arial"/>
          <w:sz w:val="24"/>
          <w:szCs w:val="24"/>
        </w:rPr>
        <w:t xml:space="preserve"> </w:t>
      </w:r>
      <w:r w:rsidR="00A66D94" w:rsidRPr="00A66D94">
        <w:rPr>
          <w:rFonts w:ascii="Arial" w:hAnsi="Arial" w:cs="Arial"/>
          <w:sz w:val="24"/>
          <w:szCs w:val="24"/>
        </w:rPr>
        <w:t xml:space="preserve">Порядок </w:t>
      </w:r>
      <w:r w:rsidR="00B173BB" w:rsidRPr="00B173BB">
        <w:rPr>
          <w:rFonts w:ascii="Arial" w:hAnsi="Arial" w:cs="Arial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66D94" w:rsidRPr="00A66D94">
        <w:rPr>
          <w:rFonts w:ascii="Arial" w:hAnsi="Arial" w:cs="Arial"/>
          <w:sz w:val="24"/>
          <w:szCs w:val="24"/>
        </w:rPr>
        <w:t xml:space="preserve"> «Первомайское» (прилагается).</w:t>
      </w:r>
    </w:p>
    <w:p w:rsidR="00D53B24" w:rsidRPr="00A66D9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66D94">
        <w:rPr>
          <w:rFonts w:ascii="Arial" w:hAnsi="Arial" w:cs="Arial"/>
          <w:color w:val="000000"/>
        </w:rPr>
        <w:t>2. Опубликовать настоящее решение в печатном издании «Первомайский вестник», разместить на официальном сайте администрации муниципального образования «Первомайское».</w:t>
      </w:r>
    </w:p>
    <w:p w:rsidR="00D53B24" w:rsidRPr="00A66D94" w:rsidRDefault="00D53B24" w:rsidP="0016435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6D94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53B24" w:rsidRPr="00A66D94" w:rsidRDefault="00D53B24" w:rsidP="00164358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spacing w:val="1"/>
        </w:rPr>
      </w:pPr>
      <w:r w:rsidRPr="00A66D94">
        <w:rPr>
          <w:rFonts w:ascii="Arial" w:hAnsi="Arial" w:cs="Arial"/>
          <w:color w:val="000000"/>
        </w:rPr>
        <w:t xml:space="preserve">4. </w:t>
      </w:r>
      <w:proofErr w:type="gramStart"/>
      <w:r w:rsidRPr="00A66D94">
        <w:rPr>
          <w:rFonts w:ascii="Arial" w:hAnsi="Arial" w:cs="Arial"/>
          <w:color w:val="000000"/>
        </w:rPr>
        <w:t>Контроль за</w:t>
      </w:r>
      <w:proofErr w:type="gramEnd"/>
      <w:r w:rsidRPr="00A66D94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53B24" w:rsidRPr="00A66D9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pacing w:after="0" w:line="240" w:lineRule="auto"/>
        <w:ind w:firstLine="709"/>
        <w:rPr>
          <w:rFonts w:ascii="Arial" w:hAnsi="Arial" w:cs="Arial"/>
          <w:spacing w:val="1"/>
          <w:sz w:val="24"/>
          <w:szCs w:val="24"/>
        </w:rPr>
      </w:pP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>Глава 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 xml:space="preserve">Председатель Думы 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53B24" w:rsidRPr="00A66D94" w:rsidRDefault="00D53B24" w:rsidP="00164358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A66D94">
        <w:rPr>
          <w:rFonts w:ascii="Arial" w:hAnsi="Arial" w:cs="Arial"/>
          <w:spacing w:val="1"/>
          <w:sz w:val="24"/>
          <w:szCs w:val="24"/>
        </w:rPr>
        <w:t xml:space="preserve">А.И. </w:t>
      </w:r>
      <w:proofErr w:type="spellStart"/>
      <w:r w:rsidRPr="00A66D94">
        <w:rPr>
          <w:rFonts w:ascii="Arial" w:hAnsi="Arial" w:cs="Arial"/>
          <w:spacing w:val="1"/>
          <w:sz w:val="24"/>
          <w:szCs w:val="24"/>
        </w:rPr>
        <w:t>Кудак</w:t>
      </w:r>
      <w:proofErr w:type="spellEnd"/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</w:rPr>
      </w:pPr>
    </w:p>
    <w:p w:rsidR="00D53B24" w:rsidRPr="00A66D94" w:rsidRDefault="00D53B24" w:rsidP="001643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Приложение</w:t>
      </w:r>
    </w:p>
    <w:p w:rsidR="00D53B24" w:rsidRPr="00A66D94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К Решению Думы муниципального образования</w:t>
      </w:r>
    </w:p>
    <w:p w:rsidR="00D53B24" w:rsidRPr="000D3040" w:rsidRDefault="00D53B24" w:rsidP="0016435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A66D94">
        <w:rPr>
          <w:rFonts w:ascii="Courier New" w:hAnsi="Courier New" w:cs="Courier New"/>
        </w:rPr>
        <w:t>«</w:t>
      </w:r>
      <w:r w:rsidRPr="000D3040">
        <w:rPr>
          <w:rFonts w:ascii="Courier New" w:hAnsi="Courier New" w:cs="Courier New"/>
        </w:rPr>
        <w:t xml:space="preserve">Первомайское» от </w:t>
      </w:r>
      <w:r w:rsidR="008B0058" w:rsidRPr="000D3040">
        <w:rPr>
          <w:rFonts w:ascii="Courier New" w:hAnsi="Courier New" w:cs="Courier New"/>
        </w:rPr>
        <w:t>30.0</w:t>
      </w:r>
      <w:r w:rsidR="000D3040" w:rsidRPr="000D3040">
        <w:rPr>
          <w:rFonts w:ascii="Courier New" w:hAnsi="Courier New" w:cs="Courier New"/>
        </w:rPr>
        <w:t>6</w:t>
      </w:r>
      <w:r w:rsidR="008B0058" w:rsidRPr="000D3040">
        <w:rPr>
          <w:rFonts w:ascii="Courier New" w:hAnsi="Courier New" w:cs="Courier New"/>
        </w:rPr>
        <w:t>.2021</w:t>
      </w:r>
      <w:r w:rsidRPr="000D3040">
        <w:rPr>
          <w:rFonts w:ascii="Courier New" w:hAnsi="Courier New" w:cs="Courier New"/>
        </w:rPr>
        <w:t xml:space="preserve"> г. № </w:t>
      </w:r>
      <w:r w:rsidR="000D3040" w:rsidRPr="000D3040">
        <w:rPr>
          <w:rFonts w:ascii="Courier New" w:hAnsi="Courier New" w:cs="Courier New"/>
        </w:rPr>
        <w:t>1</w:t>
      </w:r>
      <w:r w:rsidR="00B173BB" w:rsidRPr="000D3040">
        <w:rPr>
          <w:rFonts w:ascii="Courier New" w:hAnsi="Courier New" w:cs="Courier New"/>
        </w:rPr>
        <w:t>5</w:t>
      </w:r>
    </w:p>
    <w:p w:rsidR="00D53B24" w:rsidRPr="00A66D94" w:rsidRDefault="00D53B24" w:rsidP="00164358">
      <w:pPr>
        <w:spacing w:after="0" w:line="240" w:lineRule="auto"/>
        <w:ind w:firstLine="709"/>
        <w:jc w:val="right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F93A1A" w:rsidRPr="000D3040" w:rsidRDefault="00164358" w:rsidP="000D30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0D3040">
        <w:rPr>
          <w:rFonts w:ascii="Arial" w:hAnsi="Arial" w:cs="Arial"/>
          <w:b/>
          <w:iCs/>
          <w:sz w:val="30"/>
          <w:szCs w:val="30"/>
        </w:rPr>
        <w:t>ПОРЯДОК</w:t>
      </w:r>
    </w:p>
    <w:p w:rsidR="00D53B24" w:rsidRPr="00A66D94" w:rsidRDefault="00B173BB" w:rsidP="000D30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3040">
        <w:rPr>
          <w:rFonts w:ascii="Arial" w:eastAsiaTheme="majorEastAsia" w:hAnsi="Arial" w:cs="Arial"/>
          <w:b/>
          <w:bCs/>
          <w:iCs/>
          <w:sz w:val="30"/>
          <w:szCs w:val="30"/>
        </w:rPr>
        <w:t>ВЫДВИЖЕНИЯ, ВНЕСЕНИЯ, ОБСУЖДЕНИЯ</w:t>
      </w:r>
      <w:r w:rsidRPr="00B173BB">
        <w:rPr>
          <w:rFonts w:ascii="Arial" w:eastAsiaTheme="majorEastAsia" w:hAnsi="Arial" w:cs="Arial"/>
          <w:b/>
          <w:bCs/>
          <w:iCs/>
          <w:sz w:val="30"/>
          <w:szCs w:val="30"/>
        </w:rPr>
        <w:t xml:space="preserve">, РАССМОТРЕНИЯ ИНИЦИАТИВНЫХ ПРОЕКТОВ, А ТАКЖЕ ПРОВЕДЕНИЯ ИХ </w:t>
      </w:r>
      <w:r w:rsidRPr="00B173BB">
        <w:rPr>
          <w:rFonts w:ascii="Arial" w:eastAsiaTheme="majorEastAsia" w:hAnsi="Arial" w:cs="Arial"/>
          <w:b/>
          <w:bCs/>
          <w:iCs/>
          <w:sz w:val="30"/>
          <w:szCs w:val="30"/>
        </w:rPr>
        <w:lastRenderedPageBreak/>
        <w:t>КОНКУРСНОГО ОТБОРА В МУНИЦИПАЛЬНОМ ОБРАЗОВАНИИ «ПЕРВОМАЙСКОЕ»</w:t>
      </w:r>
    </w:p>
    <w:p w:rsidR="00D53B24" w:rsidRPr="00A66D94" w:rsidRDefault="00D53B24" w:rsidP="00164358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D53B24" w:rsidRPr="00A66D94" w:rsidRDefault="00D53B24" w:rsidP="00164358">
      <w:pPr>
        <w:tabs>
          <w:tab w:val="left" w:pos="1104"/>
        </w:tabs>
        <w:spacing w:after="0" w:line="240" w:lineRule="auto"/>
        <w:ind w:right="168"/>
        <w:jc w:val="center"/>
        <w:rPr>
          <w:rFonts w:ascii="Arial" w:hAnsi="Arial" w:cs="Arial"/>
          <w:sz w:val="24"/>
          <w:szCs w:val="24"/>
        </w:rPr>
      </w:pPr>
      <w:r w:rsidRPr="00A66D94">
        <w:rPr>
          <w:rFonts w:ascii="Arial" w:hAnsi="Arial" w:cs="Arial"/>
          <w:sz w:val="24"/>
          <w:szCs w:val="24"/>
        </w:rPr>
        <w:t>Глава 1. Общие положения</w:t>
      </w:r>
    </w:p>
    <w:p w:rsidR="00D53B24" w:rsidRPr="00A66D94" w:rsidRDefault="00D53B24" w:rsidP="00164358">
      <w:pPr>
        <w:tabs>
          <w:tab w:val="left" w:pos="1104"/>
        </w:tabs>
        <w:spacing w:after="0" w:line="240" w:lineRule="auto"/>
        <w:ind w:right="170" w:firstLine="709"/>
        <w:jc w:val="center"/>
        <w:rPr>
          <w:rFonts w:ascii="Arial" w:hAnsi="Arial" w:cs="Arial"/>
          <w:sz w:val="24"/>
          <w:szCs w:val="24"/>
        </w:rPr>
      </w:pPr>
    </w:p>
    <w:p w:rsidR="00B173BB" w:rsidRPr="00B173BB" w:rsidRDefault="00164358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66D94">
        <w:rPr>
          <w:rFonts w:ascii="Arial" w:hAnsi="Arial" w:cs="Arial"/>
          <w:bCs/>
          <w:kern w:val="2"/>
          <w:sz w:val="24"/>
          <w:szCs w:val="24"/>
        </w:rPr>
        <w:t>1.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 Настоящий Порядок регулирует процедуру выдвижения инициативных проектов по реализации мероприятий, имеющих приоритетное значение для жителей муниципального образования </w:t>
      </w:r>
      <w:r w:rsidR="009A1204">
        <w:rPr>
          <w:rFonts w:ascii="Arial" w:hAnsi="Arial" w:cs="Arial"/>
          <w:bCs/>
          <w:kern w:val="2"/>
          <w:sz w:val="24"/>
          <w:szCs w:val="24"/>
        </w:rPr>
        <w:t>«Первомайское»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="00B173BB" w:rsidRPr="00B173BB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инициативные проекты), их внесения в администрацию муниципального образования </w:t>
      </w:r>
      <w:r w:rsidR="009A1204" w:rsidRPr="009A1204">
        <w:rPr>
          <w:rFonts w:ascii="Arial" w:hAnsi="Arial" w:cs="Arial"/>
          <w:bCs/>
          <w:kern w:val="2"/>
          <w:sz w:val="24"/>
          <w:szCs w:val="24"/>
        </w:rPr>
        <w:t>«Первомайское»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на части территории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 порядок определения которой устанавливается нормативным правовым актом Думы </w:t>
      </w:r>
      <w:r w:rsidR="009A1204" w:rsidRPr="009A1204">
        <w:rPr>
          <w:rFonts w:ascii="Arial" w:hAnsi="Arial" w:cs="Arial"/>
          <w:bCs/>
          <w:kern w:val="2"/>
          <w:sz w:val="24"/>
          <w:szCs w:val="24"/>
        </w:rPr>
        <w:t>«Первомайское»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(далее – Дума).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пунктами 14–18, 36, 38–43, а также главой 7 настоящего Порядка, не применяются.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9A1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2. Выдвижение инициативного проекта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4. С инициативой о выдвижении инициативного проекта вправе выступить: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1) инициативная группа численностью не менее </w:t>
      </w:r>
      <w:r w:rsidR="009A1204">
        <w:rPr>
          <w:rFonts w:ascii="Arial" w:hAnsi="Arial" w:cs="Arial"/>
          <w:bCs/>
          <w:kern w:val="2"/>
          <w:sz w:val="24"/>
          <w:szCs w:val="24"/>
        </w:rPr>
        <w:t>10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органы территориального общественного самоуправления;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3) староста сельского населенного пункта;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B173BB" w:rsidRPr="00B173BB" w:rsidRDefault="00EE4BB6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) юридические лица и (или) индивидуальные предприниматели, осуществляющие деятельность на территории муниципального образования.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5. 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Порядка, с учетом требований, предусмотренных пунктами 6–12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6. 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7. 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8. В случае выдвижения инициативного проекта старостой сельского населенного пункта письменный документ, предусмотренный пунктом 5 </w:t>
      </w: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настоящего Порядка, собственноручно подписывается старостой сельского населенного пункта.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9. В случае выдвижения инициативного проекта общественной палатой письменный документ, предусмотренный пунктом 5 настоящего Порядка, в соответствии с положением об общественной палате подписывается руководящим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исполнительными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органом общественной палаты.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10.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или его структурного подразделения (при наличии).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11. 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4, 5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печати юридического лица (при наличии).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конкурного отбора инициативных проектов вправе определить своего представителя (своих представителей).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</w:t>
      </w: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представителем, а также с собственноручной подписью каждого представителя о согласии осуществлять соответствующие функции.</w:t>
      </w:r>
      <w:proofErr w:type="gramEnd"/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соответствии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с требованиями абзаца первого настоящего пункта.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9A1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3. Требования к содержанию инициативного проекта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14. Инициативный проект должен содержать следующие сведения: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обоснование предложений по решению указанной проблемы;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5) планируемые сроки реализации инициативного проекта;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1) указание на вопрос местного значения, решаемый органами местного самоуправления муниципального образования, и (или) на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право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на решение вопросов, не отнесенного к вопросам местного значения муниципального образования, в соответствии с Федеральн</w:t>
      </w:r>
      <w:r w:rsidR="009A1204">
        <w:rPr>
          <w:rFonts w:ascii="Arial" w:hAnsi="Arial" w:cs="Arial"/>
          <w:bCs/>
          <w:kern w:val="2"/>
          <w:sz w:val="24"/>
          <w:szCs w:val="24"/>
        </w:rPr>
        <w:t>ым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закон</w:t>
      </w:r>
      <w:r w:rsidR="009A1204">
        <w:rPr>
          <w:rFonts w:ascii="Arial" w:hAnsi="Arial" w:cs="Arial"/>
          <w:bCs/>
          <w:kern w:val="2"/>
          <w:sz w:val="24"/>
          <w:szCs w:val="24"/>
        </w:rPr>
        <w:t>ом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17. В случае если реализация инициативного проекта предлагается на части территории муниципального образования, в инициативный прое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кт вкл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>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которые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9A1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4. Обсуждение инициативного проекта в целях его поддержки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20.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нормативными правовыми актами Думы.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На сходе, собрании или конференции граждан может быть принято решение об определении лиц, которые вправе осуществлять общественный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реализацией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контроль за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реализацией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25. Порядок назначения и проведения опроса граждан в целях, предусмотренных пунктом 21 настоящего Порядка, определяется нормативным правовым актом Думы в соответствии с Законом Иркутской области от 2 марта 2016 года № 7-ОЗ «Об основах назначения и проведения опроса граждан в муниципальных образованиях Иркутской области».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</w:t>
      </w: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голоса не менее половины граждан, принявших участие в голосовании, если иное не установлено правовыми актами Думы.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9A1204">
        <w:rPr>
          <w:rFonts w:ascii="Arial" w:hAnsi="Arial" w:cs="Arial"/>
          <w:bCs/>
          <w:kern w:val="2"/>
          <w:sz w:val="24"/>
          <w:szCs w:val="24"/>
        </w:rPr>
        <w:t>10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A1204">
        <w:rPr>
          <w:rFonts w:ascii="Arial" w:hAnsi="Arial" w:cs="Arial"/>
          <w:bCs/>
          <w:kern w:val="2"/>
          <w:sz w:val="24"/>
          <w:szCs w:val="24"/>
        </w:rPr>
        <w:t>100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подписей.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9A1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5. Внесение инициативного проекта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28. 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инициативный проект в форме письменного документа, предусмотренного пунктом 5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4D1867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A1204">
        <w:rPr>
          <w:rFonts w:ascii="Arial" w:hAnsi="Arial" w:cs="Arial"/>
          <w:bCs/>
          <w:kern w:val="2"/>
          <w:sz w:val="24"/>
          <w:szCs w:val="24"/>
        </w:rPr>
        <w:t>4) 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13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через организации почтовой связи.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2) полнота комплекта документов, предусмотренного пунктом 28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соблюдение требований к содержанию документов, предусмотренных статьей 261 Федерального закона от 6 октября 2003 года № 131-ФЗ «Об общих принципах организации местного самоуправления в Российской Федерации», пунктами 5–17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31. После регистрации поступления документов, предусмотренных пунктом 28 настоящего Порядка, Администрация: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е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34.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 </w:t>
      </w:r>
      <w:r w:rsidR="004D1867" w:rsidRPr="004D1867">
        <w:rPr>
          <w:rFonts w:ascii="Arial" w:hAnsi="Arial" w:cs="Arial"/>
          <w:bCs/>
          <w:kern w:val="2"/>
          <w:sz w:val="24"/>
          <w:szCs w:val="24"/>
        </w:rPr>
        <w:t>http://адм-первомайское</w:t>
      </w:r>
      <w:proofErr w:type="gramStart"/>
      <w:r w:rsidR="004D1867" w:rsidRPr="004D1867">
        <w:rPr>
          <w:rFonts w:ascii="Arial" w:hAnsi="Arial" w:cs="Arial"/>
          <w:bCs/>
          <w:kern w:val="2"/>
          <w:sz w:val="24"/>
          <w:szCs w:val="24"/>
        </w:rPr>
        <w:t>.р</w:t>
      </w:r>
      <w:proofErr w:type="gramEnd"/>
      <w:r w:rsidR="004D1867" w:rsidRPr="004D1867">
        <w:rPr>
          <w:rFonts w:ascii="Arial" w:hAnsi="Arial" w:cs="Arial"/>
          <w:bCs/>
          <w:kern w:val="2"/>
          <w:sz w:val="24"/>
          <w:szCs w:val="24"/>
        </w:rPr>
        <w:t>ф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(далее – официальный сайт) информацию, предусмотренную пунктом 35 настоящего Порядка. </w:t>
      </w:r>
    </w:p>
    <w:p w:rsidR="00B173BB" w:rsidRPr="00B173BB" w:rsidRDefault="004D1867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У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казанная информация доводится до сведения граждан также старостой сельского населенного пункта.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а) срока представления замечаний и (или) предложений,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который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не может составлять менее пяти рабочих дней со дня опубликования (обнародования), размещения на официальном сайте;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б) способов представления указанных замечаний и (или) предложений;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4D1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6. Рассмотрение инициативного проекта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36. Инициативный проект подлежит обязательному рассмотрению Администрацией в течение 30 календарных дней со дня его внесения.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37. Администрация не позднее 15 календарных дней со дня внесения инициативного проекта: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1) проверяет 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том числе соблюдение требований: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а) к территории, на которой предполагается реализация инициативного проекта,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в соответствии с пунктом 2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б) к инициатору инициативного проекта,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пунктом 4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в) к порядку проведения и результатам схода,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</w:t>
      </w:r>
      <w:r w:rsidR="004D1867">
        <w:rPr>
          <w:rFonts w:ascii="Arial" w:hAnsi="Arial" w:cs="Arial"/>
          <w:bCs/>
          <w:kern w:val="2"/>
          <w:sz w:val="24"/>
          <w:szCs w:val="24"/>
        </w:rPr>
        <w:t>«Первомайское»</w:t>
      </w:r>
      <w:r w:rsidRPr="00B173BB">
        <w:rPr>
          <w:rFonts w:ascii="Arial" w:hAnsi="Arial" w:cs="Arial"/>
          <w:bCs/>
          <w:kern w:val="2"/>
          <w:sz w:val="24"/>
          <w:szCs w:val="24"/>
        </w:rPr>
        <w:t>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38.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В случае выявления двух или более инициативных проектов (в том числе с описанием аналогичных по содержанию приоритетных проблем), </w:t>
      </w: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внесенных в Администрацию, в отношении которых отсутствуют обстоятельства, предусмотренные пунктами 1–4 части 7 статьи 261 Федерального закона от 6 октября 2003 года № 131-ФЗ «Об общих принципах организации местного самоуправления в Российской Федерации»  и рассмотрение которых не завершено (за исключением инициативных проектов, которые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несоблюдение установленного Федеральным законом от 6 октября 2003 года № 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муниципального образования (наименование устава);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6) признание инициативного проекта не прошедшим конкурсный отбор.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</w:t>
      </w:r>
    </w:p>
    <w:p w:rsidR="00B173BB" w:rsidRPr="00B173BB" w:rsidRDefault="004D1867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У</w:t>
      </w:r>
      <w:r w:rsidR="00B173BB" w:rsidRPr="00B173BB">
        <w:rPr>
          <w:rFonts w:ascii="Arial" w:hAnsi="Arial" w:cs="Arial"/>
          <w:bCs/>
          <w:kern w:val="2"/>
          <w:sz w:val="24"/>
          <w:szCs w:val="24"/>
        </w:rPr>
        <w:t xml:space="preserve">казанная информация доводится до сведения граждан также старостой сельского населенного пункта.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4D1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Глава 7. Порядок проведения конкурсного отбора</w:t>
      </w:r>
      <w:r w:rsidR="004D186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B173BB">
        <w:rPr>
          <w:rFonts w:ascii="Arial" w:hAnsi="Arial" w:cs="Arial"/>
          <w:bCs/>
          <w:kern w:val="2"/>
          <w:sz w:val="24"/>
          <w:szCs w:val="24"/>
        </w:rPr>
        <w:t>инициативных проектов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45. Решение о назначении конкурсного отбора принимается в форме правового акта Администрации и должно содержать: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46. О назначении конкурсного отбора, а также </w:t>
      </w:r>
      <w:r w:rsidR="004D1867" w:rsidRPr="00B173BB">
        <w:rPr>
          <w:rFonts w:ascii="Arial" w:hAnsi="Arial" w:cs="Arial"/>
          <w:bCs/>
          <w:kern w:val="2"/>
          <w:sz w:val="24"/>
          <w:szCs w:val="24"/>
        </w:rPr>
        <w:t>об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Думы</w:t>
      </w:r>
      <w:proofErr w:type="gramEnd"/>
      <w:r w:rsidRPr="00B173BB">
        <w:rPr>
          <w:rFonts w:ascii="Arial" w:hAnsi="Arial" w:cs="Arial"/>
          <w:bCs/>
          <w:kern w:val="2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48. 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lastRenderedPageBreak/>
        <w:t xml:space="preserve">49. При проведении конкурсного отбора инициативных проектов применяются следующие критерии: 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B173BB" w:rsidRPr="00B173BB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B173BB">
        <w:rPr>
          <w:rFonts w:ascii="Arial" w:hAnsi="Arial" w:cs="Arial"/>
          <w:bCs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 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A66D94" w:rsidRPr="00A66D94" w:rsidRDefault="00B173BB" w:rsidP="00B17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173BB">
        <w:rPr>
          <w:rFonts w:ascii="Arial" w:hAnsi="Arial" w:cs="Arial"/>
          <w:bCs/>
          <w:kern w:val="2"/>
          <w:sz w:val="24"/>
          <w:szCs w:val="24"/>
        </w:rPr>
        <w:t xml:space="preserve"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</w:t>
      </w:r>
      <w:r w:rsidR="004D1867">
        <w:rPr>
          <w:rFonts w:ascii="Arial" w:hAnsi="Arial" w:cs="Arial"/>
          <w:bCs/>
          <w:kern w:val="2"/>
          <w:sz w:val="24"/>
          <w:szCs w:val="24"/>
        </w:rPr>
        <w:t>У</w:t>
      </w:r>
      <w:r w:rsidRPr="00B173BB">
        <w:rPr>
          <w:rFonts w:ascii="Arial" w:hAnsi="Arial" w:cs="Arial"/>
          <w:bCs/>
          <w:kern w:val="2"/>
          <w:sz w:val="24"/>
          <w:szCs w:val="24"/>
        </w:rPr>
        <w:t xml:space="preserve">казанная информация  доводится до сведения граждан  также старостой сельского населенного пункта. </w:t>
      </w:r>
    </w:p>
    <w:p w:rsidR="00164358" w:rsidRPr="00A66D94" w:rsidRDefault="00164358" w:rsidP="00A6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A66D94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4358" w:rsidRPr="00A66D94" w:rsidRDefault="00164358" w:rsidP="001643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93A1A" w:rsidRPr="00A66D94" w:rsidRDefault="00F93A1A" w:rsidP="0016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93A1A" w:rsidRPr="00A66D94" w:rsidSect="00F93A1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4" w:rsidRDefault="00E229A4" w:rsidP="00926A06">
      <w:pPr>
        <w:spacing w:after="0" w:line="240" w:lineRule="auto"/>
      </w:pPr>
      <w:r>
        <w:separator/>
      </w:r>
    </w:p>
  </w:endnote>
  <w:endnote w:type="continuationSeparator" w:id="0">
    <w:p w:rsidR="00E229A4" w:rsidRDefault="00E229A4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4" w:rsidRDefault="00E229A4" w:rsidP="00926A06">
      <w:pPr>
        <w:spacing w:after="0" w:line="240" w:lineRule="auto"/>
      </w:pPr>
      <w:r>
        <w:separator/>
      </w:r>
    </w:p>
  </w:footnote>
  <w:footnote w:type="continuationSeparator" w:id="0">
    <w:p w:rsidR="00E229A4" w:rsidRDefault="00E229A4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D304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3040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4358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3916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2C04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85AEE"/>
    <w:rsid w:val="00392038"/>
    <w:rsid w:val="00394C72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1867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2382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11FD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768AE"/>
    <w:rsid w:val="00880FFA"/>
    <w:rsid w:val="008A1FBF"/>
    <w:rsid w:val="008B0058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A1204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6D9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173BB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27F3D"/>
    <w:rsid w:val="00C329D7"/>
    <w:rsid w:val="00C34035"/>
    <w:rsid w:val="00C34275"/>
    <w:rsid w:val="00C37278"/>
    <w:rsid w:val="00C412A8"/>
    <w:rsid w:val="00C41E49"/>
    <w:rsid w:val="00C42502"/>
    <w:rsid w:val="00C42820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53B24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29A4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1D7C"/>
    <w:rsid w:val="00ED255E"/>
    <w:rsid w:val="00ED26F5"/>
    <w:rsid w:val="00ED2B17"/>
    <w:rsid w:val="00ED4992"/>
    <w:rsid w:val="00EE2D73"/>
    <w:rsid w:val="00EE42F4"/>
    <w:rsid w:val="00EE4BB6"/>
    <w:rsid w:val="00EE5180"/>
    <w:rsid w:val="00EF037D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539"/>
    <w:rsid w:val="00F84904"/>
    <w:rsid w:val="00F86C90"/>
    <w:rsid w:val="00F86EE9"/>
    <w:rsid w:val="00F8776D"/>
    <w:rsid w:val="00F90594"/>
    <w:rsid w:val="00F90774"/>
    <w:rsid w:val="00F93A1A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link w:val="10"/>
    <w:uiPriority w:val="9"/>
    <w:qFormat/>
    <w:rsid w:val="00D53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character" w:customStyle="1" w:styleId="10">
    <w:name w:val="Заголовок 1 Знак"/>
    <w:basedOn w:val="a0"/>
    <w:link w:val="1"/>
    <w:uiPriority w:val="9"/>
    <w:rsid w:val="00D53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53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3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4358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CC84-6B99-4752-936F-F022BC4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2021-06-29T17:24:00Z</dcterms:created>
  <dcterms:modified xsi:type="dcterms:W3CDTF">2021-06-30T08:01:00Z</dcterms:modified>
</cp:coreProperties>
</file>